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5D73" w:rsidRPr="009E0258" w:rsidRDefault="0000282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APPROVED BY</w:t>
      </w:r>
    </w:p>
    <w:p w14:paraId="00000002" w14:textId="77777777" w:rsidR="00D55D73" w:rsidRPr="009E0258" w:rsidRDefault="00002824">
      <w:pPr>
        <w:pStyle w:val="Normal0"/>
        <w:spacing w:after="0"/>
        <w:ind w:left="106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Chair of the Faculty Academic Council __________________</w:t>
      </w:r>
    </w:p>
    <w:p w14:paraId="00000003" w14:textId="77777777" w:rsidR="00D55D73" w:rsidRPr="009E0258" w:rsidRDefault="00002824">
      <w:pPr>
        <w:pStyle w:val="Normal0"/>
        <w:spacing w:after="0"/>
        <w:ind w:left="106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Full name________________</w:t>
      </w:r>
    </w:p>
    <w:p w14:paraId="00000004" w14:textId="4F0DBF5F" w:rsidR="00D55D73" w:rsidRPr="009E0258" w:rsidRDefault="00002824">
      <w:pPr>
        <w:pStyle w:val="Normal0"/>
        <w:spacing w:after="0"/>
        <w:ind w:left="106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Signature____________</w:t>
      </w:r>
    </w:p>
    <w:p w14:paraId="00000005" w14:textId="77777777" w:rsidR="00D55D73" w:rsidRPr="009E0258" w:rsidRDefault="00002824">
      <w:pPr>
        <w:pStyle w:val="Normal0"/>
        <w:spacing w:after="0"/>
        <w:ind w:left="106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0000006" w14:textId="40101A7C" w:rsidR="00D55D73" w:rsidRPr="009E0258" w:rsidRDefault="6F1A6385" w:rsidP="6FEF6CAF">
      <w:pPr>
        <w:pStyle w:val="Normal0"/>
        <w:spacing w:after="0"/>
        <w:ind w:left="106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Date of meeting</w:t>
      </w:r>
    </w:p>
    <w:p w14:paraId="00000007" w14:textId="77777777" w:rsidR="00D55D73" w:rsidRPr="009E0258" w:rsidRDefault="00002824">
      <w:pPr>
        <w:pStyle w:val="Normal0"/>
        <w:spacing w:after="0"/>
        <w:ind w:left="106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№_________________________</w:t>
      </w:r>
    </w:p>
    <w:p w14:paraId="00000008" w14:textId="77777777" w:rsidR="00D55D73" w:rsidRPr="009E0258" w:rsidRDefault="6FEF6CAF" w:rsidP="00002824">
      <w:pPr>
        <w:pStyle w:val="Normal0"/>
        <w:spacing w:after="0"/>
        <w:ind w:left="10080" w:firstLine="5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on «_____</w:t>
      </w:r>
      <w:proofErr w:type="gramStart"/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  «</w:t>
      </w:r>
      <w:proofErr w:type="gramEnd"/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___________» 20__ year</w:t>
      </w:r>
    </w:p>
    <w:p w14:paraId="00000009" w14:textId="77777777" w:rsidR="00D55D73" w:rsidRPr="009E0258" w:rsidRDefault="00002824">
      <w:pPr>
        <w:pStyle w:val="Normal0"/>
        <w:spacing w:before="24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0000000A" w14:textId="77777777" w:rsidR="00D55D73" w:rsidRPr="009E0258" w:rsidRDefault="00002824">
      <w:pPr>
        <w:pStyle w:val="Normal0"/>
        <w:spacing w:before="24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0000000B" w14:textId="77777777" w:rsidR="00D55D73" w:rsidRPr="009E0258" w:rsidRDefault="00002824">
      <w:pPr>
        <w:pStyle w:val="Normal0"/>
        <w:spacing w:before="24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0000000C" w14:textId="77777777" w:rsidR="00D55D73" w:rsidRPr="009E0258" w:rsidRDefault="00002824">
      <w:pPr>
        <w:pStyle w:val="Normal0"/>
        <w:spacing w:before="24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Map of MOOC(S) integration in the educational process in the discipline</w:t>
      </w:r>
    </w:p>
    <w:p w14:paraId="0000000D" w14:textId="247A9E0B" w:rsidR="00D55D73" w:rsidRPr="009E0258" w:rsidRDefault="005E3FAF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International Economic Law</w:t>
      </w:r>
    </w:p>
    <w:p w14:paraId="0000000E" w14:textId="77777777" w:rsidR="00D55D73" w:rsidRPr="009E0258" w:rsidRDefault="00002824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14:paraId="0000000F" w14:textId="77777777" w:rsidR="00D55D73" w:rsidRPr="009E0258" w:rsidRDefault="00D55D73">
      <w:pPr>
        <w:pStyle w:val="Normal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0" w14:textId="77777777" w:rsidR="00D55D73" w:rsidRPr="009E0258" w:rsidRDefault="00D55D73">
      <w:pPr>
        <w:pStyle w:val="Normal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1" w14:textId="77777777" w:rsidR="00D55D73" w:rsidRPr="009E0258" w:rsidRDefault="00D55D73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2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3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4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5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6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7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8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28BD768" w14:textId="77777777" w:rsidR="00002824" w:rsidRPr="009E0258" w:rsidRDefault="0000282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9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A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B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C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1D" w14:textId="77777777" w:rsidR="00D55D73" w:rsidRPr="009E0258" w:rsidRDefault="0000282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Aim –</w:t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integrate MOOC or its elements into the educational process in the </w:t>
      </w:r>
      <w:proofErr w:type="gramStart"/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discipline</w:t>
      </w:r>
      <w:proofErr w:type="gramEnd"/>
    </w:p>
    <w:p w14:paraId="0000001E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1F" w14:textId="77777777" w:rsidR="00D55D73" w:rsidRPr="009E0258" w:rsidRDefault="00002824">
      <w:pPr>
        <w:pStyle w:val="Normal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 1. Selection of MOOC based on comparison of general characteristics with the </w:t>
      </w:r>
      <w:proofErr w:type="gramStart"/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discipline</w:t>
      </w:r>
      <w:proofErr w:type="gramEnd"/>
    </w:p>
    <w:p w14:paraId="00000020" w14:textId="77777777" w:rsidR="00D55D73" w:rsidRPr="009E0258" w:rsidRDefault="00D55D73">
      <w:pPr>
        <w:pStyle w:val="Normal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5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5"/>
        <w:gridCol w:w="7113"/>
      </w:tblGrid>
      <w:tr w:rsidR="006F2750" w:rsidRPr="009E0258" w14:paraId="5AA3BD44" w14:textId="77777777" w:rsidTr="009D5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vMerge w:val="restart"/>
            <w:tcBorders>
              <w:right w:val="single" w:sz="4" w:space="0" w:color="000000"/>
            </w:tcBorders>
          </w:tcPr>
          <w:p w14:paraId="11F461D2" w14:textId="77777777" w:rsidR="006833F4" w:rsidRPr="009E0258" w:rsidRDefault="006833F4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Name of the discipline:</w:t>
            </w:r>
          </w:p>
          <w:p w14:paraId="00000021" w14:textId="0A92C781" w:rsidR="006833F4" w:rsidRPr="009E0258" w:rsidRDefault="00367B94" w:rsidP="00FA587D">
            <w:pPr>
              <w:pStyle w:val="Normal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International Economic Law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23" w14:textId="00B35142" w:rsidR="006833F4" w:rsidRPr="009E0258" w:rsidRDefault="006833F4" w:rsidP="00367B94">
            <w:pPr>
              <w:pStyle w:val="1"/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MOOC 1:</w:t>
            </w:r>
            <w:r w:rsidR="00B37AA9" w:rsidRPr="009E0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7B94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Free Trade Agreements and Special Economic Zones</w:t>
            </w:r>
          </w:p>
        </w:tc>
      </w:tr>
      <w:tr w:rsidR="006F2750" w:rsidRPr="009E0258" w14:paraId="7A158BEA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vMerge/>
            <w:tcBorders>
              <w:right w:val="single" w:sz="4" w:space="0" w:color="000000"/>
            </w:tcBorders>
          </w:tcPr>
          <w:p w14:paraId="0D66BEC9" w14:textId="77777777" w:rsidR="006833F4" w:rsidRPr="009E0258" w:rsidRDefault="006833F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39B1EE73" w14:textId="613E576D" w:rsidR="006833F4" w:rsidRPr="009E0258" w:rsidRDefault="006833F4" w:rsidP="00C6596A">
            <w:pPr>
              <w:pStyle w:val="1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MOOC 2:</w:t>
            </w:r>
            <w:r w:rsidR="00B37AA9"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6596A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Financial markets</w:t>
            </w:r>
          </w:p>
        </w:tc>
      </w:tr>
      <w:tr w:rsidR="006F2750" w:rsidRPr="009E0258" w14:paraId="672A6659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464C7666" w14:textId="77777777" w:rsidR="00D55D73" w:rsidRPr="009E0258" w:rsidRDefault="00166DD1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Code and classification of the field of education</w:t>
            </w:r>
          </w:p>
          <w:p w14:paraId="00000024" w14:textId="7E5B752F" w:rsidR="00163454" w:rsidRPr="009E0258" w:rsidRDefault="0016345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International Law (</w:t>
            </w:r>
            <w:r w:rsidR="008D5D0A"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7M04201</w:t>
            </w: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) – </w:t>
            </w:r>
            <w:proofErr w:type="gramStart"/>
            <w:r w:rsidR="008D5D0A"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Master</w:t>
            </w:r>
            <w:r w:rsidR="00FB0DEA"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’s</w:t>
            </w:r>
            <w:proofErr w:type="gramEnd"/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degree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25" w14:textId="77777777" w:rsidR="00D55D73" w:rsidRPr="009E0258" w:rsidRDefault="00D55D73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F2750" w:rsidRPr="009E0258" w14:paraId="288323EA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3BFD2FD0" w14:textId="77777777" w:rsidR="00166DD1" w:rsidRPr="009E0258" w:rsidRDefault="00166DD1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Code and classification of the direction of education</w:t>
            </w:r>
          </w:p>
          <w:p w14:paraId="0C630E44" w14:textId="7F24E308" w:rsidR="00163454" w:rsidRPr="009E0258" w:rsidRDefault="0016345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International Law (</w:t>
            </w:r>
            <w:r w:rsidR="008D5D0A"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7M04201</w:t>
            </w: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4F270F4F" w14:textId="77777777" w:rsidR="00166DD1" w:rsidRPr="009E0258" w:rsidRDefault="00166DD1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F2750" w:rsidRPr="009E0258" w14:paraId="48A8824B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58516393" w14:textId="77777777" w:rsidR="00166DD1" w:rsidRPr="009E0258" w:rsidRDefault="00166DD1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Code and group of educational programs</w:t>
            </w:r>
          </w:p>
          <w:p w14:paraId="67BC4E4F" w14:textId="2A3D4F66" w:rsidR="00163454" w:rsidRPr="009E0258" w:rsidRDefault="0016345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International Law (</w:t>
            </w:r>
            <w:r w:rsidR="008D5D0A"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7M04201</w:t>
            </w: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3E150D35" w14:textId="77777777" w:rsidR="00166DD1" w:rsidRPr="009E0258" w:rsidRDefault="00166DD1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F2750" w:rsidRPr="009E0258" w14:paraId="79199977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39966545" w14:textId="77777777" w:rsidR="00166DD1" w:rsidRPr="009E0258" w:rsidRDefault="00166DD1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Code of the educational program</w:t>
            </w:r>
          </w:p>
          <w:p w14:paraId="194B0B35" w14:textId="0B2E9509" w:rsidR="006833F4" w:rsidRPr="009E0258" w:rsidRDefault="008D5D0A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MEP</w:t>
            </w:r>
            <w:r w:rsidR="006833F4"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5304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6EF99D6F" w14:textId="77777777" w:rsidR="00166DD1" w:rsidRPr="009E0258" w:rsidRDefault="00166DD1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F2750" w:rsidRPr="009E0258" w14:paraId="1921E77A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233E2B29" w14:textId="77777777" w:rsidR="00166DD1" w:rsidRPr="009E0258" w:rsidRDefault="00166DD1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Name of the educational program</w:t>
            </w:r>
          </w:p>
          <w:p w14:paraId="37AC4006" w14:textId="349F3955" w:rsidR="00130DD9" w:rsidRPr="009E0258" w:rsidRDefault="008D5D0A" w:rsidP="008D5D0A">
            <w:pPr>
              <w:pStyle w:val="Normal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International Economic Law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6620F347" w14:textId="77777777" w:rsidR="00166DD1" w:rsidRPr="009E0258" w:rsidRDefault="00166DD1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F2750" w:rsidRPr="009E0258" w14:paraId="41AA9EFB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26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Labor intensity (hours / credits)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27" w14:textId="77777777" w:rsidR="00D55D73" w:rsidRPr="009E0258" w:rsidRDefault="00002824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Labor intensity (hours / credits)</w:t>
            </w:r>
          </w:p>
        </w:tc>
      </w:tr>
      <w:tr w:rsidR="006F2750" w:rsidRPr="009E0258" w14:paraId="0A37501D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28" w14:textId="0FE3212B" w:rsidR="00D55D73" w:rsidRPr="009E0258" w:rsidRDefault="006F2750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180</w:t>
            </w:r>
            <w:r w:rsidR="001E0989"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655CE9B8" w14:textId="4D474BD4" w:rsidR="00D55D73" w:rsidRPr="009E0258" w:rsidRDefault="00714277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MOOC - </w:t>
            </w:r>
            <w:r w:rsidR="008D5D0A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weeks</w:t>
            </w:r>
            <w:r w:rsidR="00AB364F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8D5D0A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AB364F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hours of videos and </w:t>
            </w:r>
            <w:r w:rsidR="00E16BED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assessments.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0000029" w14:textId="4334EDBD" w:rsidR="00714277" w:rsidRPr="009E0258" w:rsidRDefault="00714277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MOOC - </w:t>
            </w:r>
            <w:r w:rsidR="008D5D0A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weeks</w:t>
            </w:r>
            <w:r w:rsidR="008D5D0A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3-4 hours per week</w:t>
            </w:r>
            <w:r w:rsidR="00E16BED"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F2750" w:rsidRPr="009E0258" w14:paraId="1E84125B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2A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Educational stage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2B" w14:textId="77777777" w:rsidR="00D55D73" w:rsidRPr="009E0258" w:rsidRDefault="00002824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Educational stage recommendations (if applicable)</w:t>
            </w:r>
          </w:p>
        </w:tc>
      </w:tr>
      <w:tr w:rsidR="006F2750" w:rsidRPr="009E0258" w14:paraId="5DAB6C7B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2C" w14:textId="277A7823" w:rsidR="00D55D73" w:rsidRPr="009E0258" w:rsidRDefault="00714277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International Law (</w:t>
            </w:r>
            <w:r w:rsidR="00165711"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>7M04201</w:t>
            </w: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2D" w14:textId="669F02C7" w:rsidR="00D55D73" w:rsidRPr="009E0258" w:rsidRDefault="00165711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International Economic law</w:t>
            </w:r>
          </w:p>
        </w:tc>
      </w:tr>
      <w:tr w:rsidR="006F2750" w:rsidRPr="009E0258" w14:paraId="40DF2564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2E" w14:textId="74159784" w:rsidR="00130DD9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Form of study (full-time/blended learning/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short-time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2F" w14:textId="77777777" w:rsidR="00D55D73" w:rsidRPr="009E0258" w:rsidRDefault="00002824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Platform</w:t>
            </w:r>
          </w:p>
        </w:tc>
      </w:tr>
      <w:tr w:rsidR="006F2750" w:rsidRPr="009E0258" w14:paraId="02EB378F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0" w14:textId="211B10DD" w:rsidR="00D55D73" w:rsidRPr="009E0258" w:rsidRDefault="00130DD9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Full-time 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31" w14:textId="03A9F727" w:rsidR="00D55D73" w:rsidRPr="009E0258" w:rsidRDefault="00130DD9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Coursera</w:t>
            </w:r>
          </w:p>
        </w:tc>
      </w:tr>
      <w:tr w:rsidR="006F2750" w:rsidRPr="009E0258" w14:paraId="51E84FA8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2" w14:textId="77777777" w:rsidR="00D55D73" w:rsidRPr="009E0258" w:rsidRDefault="00D55D73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34" w14:textId="151C271F" w:rsidR="00D55D73" w:rsidRPr="009E0258" w:rsidRDefault="00002824" w:rsidP="008F7AB3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Course URL</w:t>
            </w:r>
          </w:p>
        </w:tc>
      </w:tr>
      <w:tr w:rsidR="006F2750" w:rsidRPr="009E0258" w14:paraId="6A05A809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5" w14:textId="77777777" w:rsidR="00D55D73" w:rsidRPr="009E0258" w:rsidRDefault="00D55D73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10BCBF06" w14:textId="10E92DED" w:rsidR="00714277" w:rsidRPr="009E0258" w:rsidRDefault="00165711" w:rsidP="008F7AB3">
            <w:pPr>
              <w:pStyle w:val="Normal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Pr="009E0258"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https://www.coursera.org/learn/free-trade-agreements-and-special-economic-zones/supplement/xPhUP/program-description-and-course-syllabus</w:t>
              </w:r>
            </w:hyperlink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0000036" w14:textId="14784A14" w:rsidR="00165711" w:rsidRPr="009E0258" w:rsidRDefault="00165711" w:rsidP="008F7AB3">
            <w:pPr>
              <w:pStyle w:val="Normal0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0" w:history="1">
              <w:r w:rsidRPr="009E0258">
                <w:rPr>
                  <w:rStyle w:val="afa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https://www.coursera.org/learn/financial-markets-global/home/week/1</w:t>
              </w:r>
            </w:hyperlink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F2750" w:rsidRPr="009E0258" w14:paraId="16AF0391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7" w14:textId="77777777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Type of discipline in Study Plan (core/major/elective)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38" w14:textId="77777777" w:rsidR="00D55D73" w:rsidRPr="009E0258" w:rsidRDefault="00002824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Educational organization-developer</w:t>
            </w:r>
          </w:p>
        </w:tc>
      </w:tr>
      <w:tr w:rsidR="006F2750" w:rsidRPr="009E0258" w14:paraId="5A39BBE3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9" w14:textId="41C36EDA" w:rsidR="00D55D73" w:rsidRPr="009E0258" w:rsidRDefault="00130DD9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Core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65DC203A" w14:textId="77777777" w:rsidR="00D55D73" w:rsidRPr="009E0258" w:rsidRDefault="00CE7FFA" w:rsidP="006F2750">
            <w:pPr>
              <w:pStyle w:val="Normal0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Tax Academy, An initiative by PwC Academy</w:t>
            </w:r>
          </w:p>
          <w:p w14:paraId="0000003A" w14:textId="61946A0F" w:rsidR="00CE7FFA" w:rsidRPr="009E0258" w:rsidRDefault="00CE7FFA" w:rsidP="006F2750">
            <w:pPr>
              <w:pStyle w:val="Normal0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Yale University</w:t>
            </w: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USA</w:t>
            </w:r>
          </w:p>
        </w:tc>
      </w:tr>
      <w:tr w:rsidR="006F2750" w:rsidRPr="009E0258" w14:paraId="3A1910FF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B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Language of education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3C" w14:textId="77777777" w:rsidR="00D55D73" w:rsidRPr="009E0258" w:rsidRDefault="00002824">
            <w:pPr>
              <w:pStyle w:val="Normal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Language of education</w:t>
            </w:r>
          </w:p>
        </w:tc>
      </w:tr>
      <w:tr w:rsidR="006F2750" w:rsidRPr="009E0258" w14:paraId="41C8F396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D" w14:textId="5AE17B52" w:rsidR="00D55D73" w:rsidRPr="009E0258" w:rsidRDefault="00130DD9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3E" w14:textId="38D85006" w:rsidR="00D55D73" w:rsidRPr="009E0258" w:rsidRDefault="00130DD9">
            <w:pPr>
              <w:pStyle w:val="Normal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6F2750" w:rsidRPr="009E0258" w14:paraId="107423C3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3F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40" w14:textId="77777777" w:rsidR="00D55D73" w:rsidRPr="009E0258" w:rsidRDefault="00002824">
            <w:pPr>
              <w:pStyle w:val="Normal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Availability:</w:t>
            </w:r>
          </w:p>
          <w:p w14:paraId="00000041" w14:textId="77777777" w:rsidR="00D55D73" w:rsidRPr="009E0258" w:rsidRDefault="00002824">
            <w:pPr>
              <w:pStyle w:val="Normal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announced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date/</w:t>
            </w:r>
          </w:p>
          <w:p w14:paraId="00000042" w14:textId="77777777" w:rsidR="00D55D73" w:rsidRPr="009E0258" w:rsidRDefault="00002824">
            <w:pPr>
              <w:pStyle w:val="Normal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beginning of the term/</w:t>
            </w:r>
          </w:p>
          <w:p w14:paraId="00000043" w14:textId="77777777" w:rsidR="00D55D73" w:rsidRPr="009E0258" w:rsidRDefault="00002824">
            <w:pPr>
              <w:pStyle w:val="Normal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On Demand/</w:t>
            </w:r>
          </w:p>
          <w:p w14:paraId="00000044" w14:textId="77777777" w:rsidR="00D55D73" w:rsidRPr="009E0258" w:rsidRDefault="00002824">
            <w:pPr>
              <w:pStyle w:val="Normal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monthly </w:t>
            </w:r>
            <w:proofErr w:type="spell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start up</w:t>
            </w:r>
            <w:proofErr w:type="spellEnd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of the group).</w:t>
            </w:r>
          </w:p>
        </w:tc>
      </w:tr>
      <w:tr w:rsidR="006F2750" w:rsidRPr="009E0258" w14:paraId="72A3D3EC" w14:textId="77777777" w:rsidTr="009D5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00000045" w14:textId="3C98E3C9" w:rsidR="00D55D73" w:rsidRPr="009E0258" w:rsidRDefault="00130DD9">
            <w:pPr>
              <w:pStyle w:val="Normal0"/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2</w:t>
            </w:r>
            <w:r w:rsidR="00714277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714277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term – Spring semester, 202</w:t>
            </w:r>
            <w:r w:rsidR="00D90D08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3</w:t>
            </w:r>
            <w:r w:rsidR="00714277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-202</w:t>
            </w:r>
            <w:r w:rsidR="00D90D08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00000046" w14:textId="25887CB2" w:rsidR="00D55D73" w:rsidRPr="009E0258" w:rsidRDefault="00714277">
            <w:pPr>
              <w:pStyle w:val="Normal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Announced date</w:t>
            </w:r>
          </w:p>
        </w:tc>
      </w:tr>
      <w:tr w:rsidR="006F2750" w:rsidRPr="009E0258" w14:paraId="0AD483DA" w14:textId="77777777" w:rsidTr="009D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  <w:tcBorders>
              <w:right w:val="single" w:sz="4" w:space="0" w:color="000000"/>
            </w:tcBorders>
          </w:tcPr>
          <w:p w14:paraId="51BB041F" w14:textId="77777777" w:rsidR="00D55D73" w:rsidRPr="009E0258" w:rsidRDefault="00002824">
            <w:pPr>
              <w:pStyle w:val="Normal0"/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Form of assessment (exam)</w:t>
            </w:r>
          </w:p>
          <w:p w14:paraId="00000047" w14:textId="3E0D0435" w:rsidR="00AB364F" w:rsidRPr="009E0258" w:rsidRDefault="00AB364F">
            <w:pPr>
              <w:pStyle w:val="Normal0"/>
              <w:spacing w:after="120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Traditional written form</w:t>
            </w:r>
          </w:p>
        </w:tc>
        <w:tc>
          <w:tcPr>
            <w:tcW w:w="7113" w:type="dxa"/>
            <w:tcBorders>
              <w:left w:val="single" w:sz="4" w:space="0" w:color="000000"/>
            </w:tcBorders>
          </w:tcPr>
          <w:p w14:paraId="59D7D746" w14:textId="77777777" w:rsidR="00D55D73" w:rsidRPr="009E0258" w:rsidRDefault="00002824">
            <w:pPr>
              <w:pStyle w:val="Normal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Control test in form of</w:t>
            </w:r>
            <w:r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peer to peer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evaluation, test, project</w:t>
            </w: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etc.</w:t>
            </w:r>
          </w:p>
          <w:p w14:paraId="00000048" w14:textId="6F715563" w:rsidR="00AB364F" w:rsidRPr="009E0258" w:rsidRDefault="00AB364F">
            <w:pPr>
              <w:pStyle w:val="Normal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using the results of study on MOOC for the current certification and final control of the discipline</w:t>
            </w:r>
          </w:p>
        </w:tc>
      </w:tr>
    </w:tbl>
    <w:p w14:paraId="00000049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000004E" w14:textId="77777777" w:rsidR="00D55D73" w:rsidRPr="009E0258" w:rsidRDefault="0000282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Part 2. Selection of MOCC based on the analysis of the content and forming </w:t>
      </w:r>
      <w:proofErr w:type="gramStart"/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competencies</w:t>
      </w:r>
      <w:proofErr w:type="gramEnd"/>
    </w:p>
    <w:p w14:paraId="0000004F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6"/>
        <w:tblW w:w="137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6345"/>
      </w:tblGrid>
      <w:tr w:rsidR="006F2750" w:rsidRPr="009E0258" w14:paraId="4B2AF956" w14:textId="77777777" w:rsidTr="00D5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000000"/>
            </w:tcBorders>
          </w:tcPr>
          <w:p w14:paraId="00000050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 Learning outcomes (LO) of the discipline (3-6 basic):</w:t>
            </w:r>
          </w:p>
        </w:tc>
        <w:tc>
          <w:tcPr>
            <w:tcW w:w="6345" w:type="dxa"/>
            <w:tcBorders>
              <w:left w:val="single" w:sz="4" w:space="0" w:color="000000"/>
            </w:tcBorders>
          </w:tcPr>
          <w:p w14:paraId="00000051" w14:textId="77777777" w:rsidR="00D55D73" w:rsidRPr="009E0258" w:rsidRDefault="00002824">
            <w:pPr>
              <w:pStyle w:val="Normal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Learning outcomes of the MOOC (if declared):</w:t>
            </w:r>
          </w:p>
        </w:tc>
      </w:tr>
      <w:tr w:rsidR="004F1BDE" w:rsidRPr="009E0258" w14:paraId="0D0B940D" w14:textId="77777777" w:rsidTr="00D55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000000"/>
            </w:tcBorders>
          </w:tcPr>
          <w:p w14:paraId="6C9C48A2" w14:textId="17103B68" w:rsidR="004F1BDE" w:rsidRPr="009E0258" w:rsidRDefault="004F1BDE" w:rsidP="004F1BDE">
            <w:pPr>
              <w:pStyle w:val="Normal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E0258">
              <w:rPr>
                <w:rFonts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val="kk-KZ"/>
              </w:rPr>
              <w:t xml:space="preserve">LO. </w:t>
            </w:r>
            <w:r w:rsidRPr="009E025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Demonstrate knowledge and understanding of the theoretical foundations and doctrinal scientific concepts and approaches to </w:t>
            </w:r>
            <w:r w:rsidRPr="009E025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international economic law, its structure and place in the international economic system.</w:t>
            </w:r>
          </w:p>
          <w:p w14:paraId="5E70AFBC" w14:textId="77777777" w:rsidR="004F1BDE" w:rsidRPr="009E0258" w:rsidRDefault="004F1BDE" w:rsidP="004F1BDE">
            <w:pPr>
              <w:pStyle w:val="Normal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00000052" w14:textId="44BCBF6C" w:rsidR="004F1BDE" w:rsidRPr="009E0258" w:rsidRDefault="004F1BDE" w:rsidP="004F1BDE">
            <w:pPr>
              <w:pStyle w:val="Normal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LO. </w:t>
            </w:r>
            <w:r w:rsidRPr="009E025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Develop legal documents of a domestic and international legal nature in the field of economic relations.</w:t>
            </w:r>
          </w:p>
        </w:tc>
        <w:tc>
          <w:tcPr>
            <w:tcW w:w="6345" w:type="dxa"/>
            <w:tcBorders>
              <w:left w:val="single" w:sz="4" w:space="0" w:color="000000"/>
            </w:tcBorders>
          </w:tcPr>
          <w:p w14:paraId="4E96898E" w14:textId="34C4541A" w:rsidR="004F1BDE" w:rsidRPr="009E0258" w:rsidRDefault="004F1BDE" w:rsidP="004F1BDE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LO. </w:t>
            </w:r>
            <w:r w:rsidRPr="009E0258">
              <w:rPr>
                <w:rFonts w:ascii="Times New Roman" w:hAnsi="Times New Roman" w:cs="Times New Roman"/>
                <w:bCs/>
                <w:sz w:val="24"/>
                <w:szCs w:val="24"/>
              </w:rPr>
              <w:t>To competently interpret, analyze and correctly apply international legal and national norms of the Republic of Kazakhstan in the field of international economic relations.</w:t>
            </w:r>
          </w:p>
          <w:p w14:paraId="15BDC572" w14:textId="77777777" w:rsidR="004F1BDE" w:rsidRPr="009E0258" w:rsidRDefault="004F1BDE" w:rsidP="004F1BDE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5ED5C0" w14:textId="79A84E11" w:rsidR="004F1BDE" w:rsidRPr="009E0258" w:rsidRDefault="004F1BDE" w:rsidP="004F1BDE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LO. </w:t>
            </w:r>
            <w:r w:rsidRPr="009E0258">
              <w:rPr>
                <w:rFonts w:ascii="Times New Roman" w:hAnsi="Times New Roman" w:cs="Times New Roman"/>
                <w:bCs/>
                <w:sz w:val="24"/>
                <w:szCs w:val="24"/>
              </w:rPr>
              <w:t>Evaluate and be able to competently conduct legal expertise of draft regulations in the field of international economic law.</w:t>
            </w:r>
          </w:p>
          <w:p w14:paraId="5267AB7D" w14:textId="77777777" w:rsidR="004F1BDE" w:rsidRPr="009E0258" w:rsidRDefault="004F1BDE" w:rsidP="004F1BDE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000053" w14:textId="35D4858A" w:rsidR="004F1BDE" w:rsidRPr="009E0258" w:rsidRDefault="004F1BDE" w:rsidP="004F1BDE">
            <w:pPr>
              <w:pStyle w:val="Normal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LO. </w:t>
            </w:r>
            <w:r w:rsidRPr="009E0258">
              <w:rPr>
                <w:rFonts w:ascii="Times New Roman" w:hAnsi="Times New Roman" w:cs="Times New Roman"/>
                <w:bCs/>
                <w:sz w:val="24"/>
                <w:szCs w:val="24"/>
              </w:rPr>
              <w:t>Conduct and justify scientific results in the field of international economic law.</w:t>
            </w:r>
          </w:p>
        </w:tc>
      </w:tr>
      <w:tr w:rsidR="004F1BDE" w:rsidRPr="009E0258" w14:paraId="426E87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00000056" w14:textId="05D30DCA" w:rsidR="004F1BDE" w:rsidRPr="009E0258" w:rsidRDefault="004F1BDE" w:rsidP="004F1BDE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2.2. The degree of compliance of the LO (performed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 the basis of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expert judgment in %)</w:t>
            </w:r>
          </w:p>
        </w:tc>
      </w:tr>
      <w:tr w:rsidR="004F1BDE" w:rsidRPr="009E0258" w14:paraId="0E27B0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084E833C" w14:textId="70878B8E" w:rsidR="004F1BDE" w:rsidRPr="009E0258" w:rsidRDefault="004F1BDE" w:rsidP="004F1BDE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MOOC 1 – 10%</w:t>
            </w:r>
          </w:p>
          <w:p w14:paraId="00000058" w14:textId="2D0072E5" w:rsidR="004F1BDE" w:rsidRPr="009E0258" w:rsidRDefault="004F1BDE" w:rsidP="004F1BDE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MOOC 2 – 70%</w:t>
            </w:r>
          </w:p>
        </w:tc>
      </w:tr>
      <w:tr w:rsidR="004F1BDE" w:rsidRPr="009E0258" w14:paraId="249A5D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0000005C" w14:textId="69AE830F" w:rsidR="004F1BDE" w:rsidRPr="009E0258" w:rsidRDefault="004F1BDE" w:rsidP="004F1BDE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2.3. The degree of compliance with the subject (match to more than half/match to 1 module/other)</w:t>
            </w:r>
          </w:p>
        </w:tc>
      </w:tr>
      <w:tr w:rsidR="004F1BDE" w:rsidRPr="009E0258" w14:paraId="60061E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6" w:type="dxa"/>
            <w:gridSpan w:val="2"/>
          </w:tcPr>
          <w:p w14:paraId="0000005E" w14:textId="22A5553C" w:rsidR="004F1BDE" w:rsidRPr="009E0258" w:rsidRDefault="004F1BDE" w:rsidP="004F1BDE">
            <w:pPr>
              <w:pStyle w:val="Normal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The subject areas of the courses are the same. The difference is that MOOC </w:t>
            </w:r>
            <w:r w:rsidR="001D358E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2</w:t>
            </w: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offers a broader overview of the </w:t>
            </w:r>
            <w:r w:rsidR="001D358E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International Financial Law</w:t>
            </w: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. MOOC </w:t>
            </w:r>
            <w:r w:rsidR="00FD7DBB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1</w:t>
            </w: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is based specifically on the term of the </w:t>
            </w:r>
            <w:r w:rsidR="000544A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I</w:t>
            </w:r>
            <w:r w:rsidR="001D358E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nternational </w:t>
            </w:r>
            <w:r w:rsidR="000544A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E</w:t>
            </w:r>
            <w:r w:rsidR="001D358E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conomic</w:t>
            </w: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544A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L</w:t>
            </w: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aw.</w:t>
            </w:r>
          </w:p>
        </w:tc>
      </w:tr>
    </w:tbl>
    <w:p w14:paraId="00000060" w14:textId="77777777" w:rsidR="00D55D73" w:rsidRPr="009E0258" w:rsidRDefault="00D55D73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000062" w14:textId="62CD547A" w:rsidR="00D55D73" w:rsidRPr="009E0258" w:rsidRDefault="0000282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 3. Choosing a MOOC integration model</w:t>
      </w:r>
    </w:p>
    <w:tbl>
      <w:tblPr>
        <w:tblStyle w:val="af7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6F2750" w:rsidRPr="009E0258" w14:paraId="7B5E03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00000063" w14:textId="77777777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1.The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choice of the model:</w:t>
            </w:r>
          </w:p>
          <w:p w14:paraId="00000064" w14:textId="77777777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Model 1. MOOC-support: </w:t>
            </w: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MOOC is used as an additional part for the discipline in its traditional implementation as a self-student work, with or without the use of the "inverted class" technology.</w:t>
            </w:r>
          </w:p>
          <w:p w14:paraId="00000065" w14:textId="77777777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Model 2. Blended learning «+MOOC": </w:t>
            </w: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partial replacement of classroom classes (mainly lectures), as well as partial transfer of individual MOOC topics with or without the use of "inverted class" technology.</w:t>
            </w:r>
          </w:p>
          <w:p w14:paraId="00000066" w14:textId="77777777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Model 3. Blended learning "MOOC+": </w:t>
            </w: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using MOOC with partial retention of lectures, practical and seminars, as well as using the results of study on MOOC for the current certification and final control of the discipline</w:t>
            </w:r>
          </w:p>
        </w:tc>
      </w:tr>
      <w:tr w:rsidR="006F2750" w:rsidRPr="009E0258" w14:paraId="44EAFD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00000068" w14:textId="78082810" w:rsidR="00D55D73" w:rsidRPr="009E0258" w:rsidRDefault="00B25534">
            <w:pPr>
              <w:pStyle w:val="Normal0"/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u w:val="single"/>
              </w:rPr>
              <w:t xml:space="preserve">Model 3. Blended learning "MOOC+": </w:t>
            </w: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using MOOC with partial retention of lectures, practical and seminars, as well as using the results of study on MOOC for the current certification and final control of the discipline</w:t>
            </w:r>
          </w:p>
        </w:tc>
      </w:tr>
      <w:tr w:rsidR="006F2750" w:rsidRPr="009E0258" w14:paraId="7513FC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00000069" w14:textId="77777777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3.2. Formulate your own goal of using MOOC in teaching your subjects</w:t>
            </w:r>
          </w:p>
        </w:tc>
      </w:tr>
      <w:tr w:rsidR="006F2750" w:rsidRPr="009E0258" w14:paraId="4B94D5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0000006A" w14:textId="63F0DFA9" w:rsidR="00D55D73" w:rsidRPr="009E0258" w:rsidRDefault="006349F9">
            <w:pPr>
              <w:pStyle w:val="Normal0"/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 MOOC 1 and MOOC 2 are more practical and are used as additional materials to the traditional form of study. MOOCs provide an insight, skills, knowledge and experience to the </w:t>
            </w:r>
            <w:proofErr w:type="spellStart"/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basis</w:t>
            </w:r>
            <w:proofErr w:type="spellEnd"/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concepts and theories of </w:t>
            </w:r>
            <w:r w:rsidR="00FD7DBB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International Economic Law</w:t>
            </w:r>
            <w:r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. They also share tips regarding to the relevant topic and assist to identify </w:t>
            </w:r>
            <w:r w:rsidR="00B35C8A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important legal and economic considerations specific to the selected field of law.</w:t>
            </w:r>
          </w:p>
        </w:tc>
      </w:tr>
      <w:tr w:rsidR="006F2750" w:rsidRPr="009E0258" w14:paraId="4C9A9B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0000006C" w14:textId="77777777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3.3. Justification of the choice of the model (in free form, 30-60 words) and its correlation with the goal (p. 3. 2.)</w:t>
            </w:r>
          </w:p>
          <w:p w14:paraId="0000006D" w14:textId="3B790168" w:rsidR="00D55D73" w:rsidRPr="009E0258" w:rsidRDefault="00002824">
            <w:pPr>
              <w:pStyle w:val="Normal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Please explain your choice of MOOC and its integration model in the form of an essay, explaining which selection criteria you used and what guided your choice. </w:t>
            </w:r>
          </w:p>
          <w:p w14:paraId="0000006E" w14:textId="17B4E114" w:rsidR="00D55D73" w:rsidRPr="009E0258" w:rsidRDefault="0068020B" w:rsidP="0068020B">
            <w:pPr>
              <w:pStyle w:val="Normal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S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tudents have different levels of proficiency in</w:t>
            </w:r>
            <w:r w:rsidR="008A7FA5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A7FA5" w:rsidRPr="009E0258">
              <w:rPr>
                <w:rFonts w:ascii="Times New Roman" w:eastAsia="Times New Roman" w:hAnsi="Times New Roman" w:cs="Times New Roman"/>
                <w:b w:val="0"/>
                <w:bCs/>
                <w:color w:val="000000" w:themeColor="text1"/>
                <w:sz w:val="24"/>
                <w:szCs w:val="24"/>
              </w:rPr>
              <w:t>International Economic Law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, as well as experience in </w:t>
            </w:r>
            <w:r w:rsidR="0003254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practice of </w:t>
            </w:r>
            <w:r w:rsidR="008A7FA5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trade</w:t>
            </w:r>
            <w:r w:rsidR="0003254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law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, which determines the breadth of the subject of activities and differentiation of students by skills and their goals (personal goals, project goals). The use of </w:t>
            </w: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MOOC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allows you to build an individual route in the context of working on </w:t>
            </w:r>
            <w:r w:rsidR="0003254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their 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own project and allows </w:t>
            </w:r>
            <w:r w:rsidR="0003254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them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to spend more time discussing the progress of </w:t>
            </w:r>
            <w:r w:rsidR="008A7FA5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financial</w:t>
            </w:r>
            <w:r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law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, the use of </w:t>
            </w:r>
            <w:r w:rsidR="0003254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legal and economic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 xml:space="preserve"> tools, as well as share experience in using various </w:t>
            </w:r>
            <w:r w:rsidR="00032549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methods</w:t>
            </w:r>
            <w:r w:rsidR="00002824" w:rsidRPr="009E0258">
              <w:rPr>
                <w:rFonts w:ascii="Times New Roman" w:eastAsia="Times New Roman" w:hAnsi="Times New Roman" w:cs="Times New Roman"/>
                <w:b w:val="0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0000073" w14:textId="77777777" w:rsidR="00D55D73" w:rsidRPr="009E0258" w:rsidRDefault="00002824">
      <w:pPr>
        <w:pStyle w:val="Normal0"/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Part 4. Plan for the integration of MOOC in teaching discipline (example, one section)</w:t>
      </w:r>
    </w:p>
    <w:tbl>
      <w:tblPr>
        <w:tblStyle w:val="af8"/>
        <w:tblW w:w="147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4732"/>
      </w:tblGrid>
      <w:tr w:rsidR="006F2750" w:rsidRPr="009E0258" w14:paraId="392CBE6C" w14:textId="77777777" w:rsidTr="00C756E9">
        <w:trPr>
          <w:trHeight w:val="960"/>
        </w:trPr>
        <w:tc>
          <w:tcPr>
            <w:tcW w:w="1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496C" w14:textId="77777777" w:rsidR="00D55D73" w:rsidRPr="009E0258" w:rsidRDefault="00002824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4.1. The name of the model (see 3.1)</w:t>
            </w:r>
          </w:p>
          <w:p w14:paraId="00000074" w14:textId="2026EA97" w:rsidR="00B37AA9" w:rsidRPr="009E0258" w:rsidRDefault="00B37AA9" w:rsidP="00B37AA9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Model 3. Blended learning "MOOC+": </w:t>
            </w: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using MOOC with partial retention of lectures, practical and seminars, as well as using the results of study on MOOC for the current certification and final control of the discipline</w:t>
            </w:r>
          </w:p>
        </w:tc>
      </w:tr>
      <w:tr w:rsidR="006F2750" w:rsidRPr="009E0258" w14:paraId="29D6B04F" w14:textId="77777777" w:rsidTr="00FE016D">
        <w:trPr>
          <w:trHeight w:val="485"/>
        </w:trPr>
        <w:tc>
          <w:tcPr>
            <w:tcW w:w="14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3BF28B0D" w:rsidR="00D55D73" w:rsidRPr="009E0258" w:rsidRDefault="00D55D73">
            <w:pPr>
              <w:pStyle w:val="Normal0"/>
              <w:spacing w:before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2750" w:rsidRPr="009E0258" w14:paraId="68D21B87" w14:textId="77777777" w:rsidTr="00FE016D">
        <w:trPr>
          <w:trHeight w:val="485"/>
        </w:trPr>
        <w:tc>
          <w:tcPr>
            <w:tcW w:w="14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f9"/>
              <w:tblW w:w="0" w:type="auto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600" w:firstRow="0" w:lastRow="0" w:firstColumn="0" w:lastColumn="0" w:noHBand="1" w:noVBand="1"/>
            </w:tblPr>
            <w:tblGrid>
              <w:gridCol w:w="800"/>
              <w:gridCol w:w="7377"/>
              <w:gridCol w:w="1309"/>
              <w:gridCol w:w="1005"/>
              <w:gridCol w:w="1893"/>
              <w:gridCol w:w="2128"/>
            </w:tblGrid>
            <w:tr w:rsidR="006F2750" w:rsidRPr="009E0258" w14:paraId="56A8B2AE" w14:textId="77777777" w:rsidTr="00E852F8">
              <w:trPr>
                <w:trHeight w:val="17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77" w14:textId="2443F73D" w:rsidR="00F323DF" w:rsidRPr="009E0258" w:rsidRDefault="00F323DF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Week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7B" w14:textId="215DCA02" w:rsidR="00F323DF" w:rsidRPr="009E0258" w:rsidRDefault="00F323DF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Name of theme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7C" w14:textId="77777777" w:rsidR="00F323DF" w:rsidRPr="009E0258" w:rsidRDefault="00F323DF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Number of hours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7D" w14:textId="77777777" w:rsidR="00F323DF" w:rsidRPr="009E0258" w:rsidRDefault="00F323DF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Max scores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7E" w14:textId="77777777" w:rsidR="00F323DF" w:rsidRPr="009E0258" w:rsidRDefault="00F323DF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Knowledge assessment form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80" w14:textId="02198892" w:rsidR="00F323DF" w:rsidRPr="009E0258" w:rsidRDefault="00F323DF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Form of the lesson/platform</w:t>
                  </w:r>
                </w:p>
              </w:tc>
            </w:tr>
            <w:tr w:rsidR="006F2750" w:rsidRPr="009E0258" w14:paraId="4E65FFD3" w14:textId="77777777" w:rsidTr="00E852F8">
              <w:trPr>
                <w:trHeight w:val="20"/>
              </w:trPr>
              <w:tc>
                <w:tcPr>
                  <w:tcW w:w="0" w:type="auto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88" w14:textId="0797AC7F" w:rsidR="00E852F8" w:rsidRPr="009E0258" w:rsidRDefault="00E852F8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Module 1</w:t>
                  </w:r>
                </w:p>
              </w:tc>
            </w:tr>
            <w:tr w:rsidR="006F2750" w:rsidRPr="009E0258" w14:paraId="7FD52624" w14:textId="77777777" w:rsidTr="00156FE2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89" w14:textId="77777777" w:rsidR="0004450E" w:rsidRPr="009E0258" w:rsidRDefault="0004450E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312F0619" w14:textId="77777777" w:rsidR="0004450E" w:rsidRPr="009E0258" w:rsidRDefault="0004450E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08C" w14:textId="6E887E6B" w:rsidR="009A5261" w:rsidRPr="009E0258" w:rsidRDefault="00A43B54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Concept, </w:t>
                  </w:r>
                  <w:proofErr w:type="gram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essence</w:t>
                  </w:r>
                  <w:proofErr w:type="gram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system of international economic law.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8D" w14:textId="354B79BA" w:rsidR="0004450E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8E" w14:textId="02D4ECB8" w:rsidR="0004450E" w:rsidRPr="009E0258" w:rsidRDefault="00F953FE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8F" w14:textId="2DC93FAB" w:rsidR="0004450E" w:rsidRPr="009E0258" w:rsidRDefault="00B35C8A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91" w14:textId="0DB5923E" w:rsidR="0004450E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63E71A29" w14:textId="77777777" w:rsidTr="00FE016D">
              <w:trPr>
                <w:trHeight w:val="60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92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1A6365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095" w14:textId="5690CE8A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Give a description of international economic law, based on its subject matter, </w:t>
                  </w:r>
                  <w:proofErr w:type="gram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method</w:t>
                  </w:r>
                  <w:proofErr w:type="gram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various scientific concepts.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96" w14:textId="1F65998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97" w14:textId="7093ABF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98" w14:textId="5F2C1D4A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Quiz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9B" w14:textId="6733893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43A71AE9" w14:textId="77777777" w:rsidTr="00156FE2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9C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7E4B9D45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0A0" w14:textId="300DC395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Sources and principles of international economic law.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1" w14:textId="17BE8A2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2" w14:textId="3D89F548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3" w14:textId="3C16EAB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Test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5" w14:textId="3F23202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2BBC401F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6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2CC4DCA9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0A9" w14:textId="71E8DB5F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Analyze the main and auxiliary sources of international economic law.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A" w14:textId="03C7056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B" w14:textId="6C39074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C" w14:textId="3925F57F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AF" w14:textId="41953B9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248F9E67" w14:textId="77777777" w:rsidTr="00156FE2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0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BCAC200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ar-SA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 w:eastAsia="ar-SA"/>
                    </w:rPr>
                    <w:t xml:space="preserve"> </w:t>
                  </w:r>
                </w:p>
                <w:p w14:paraId="000000B3" w14:textId="1DE375BD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Subjects of MEP and “operators” of MEP.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4" w14:textId="05266D2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5" w14:textId="62D94C5E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6" w14:textId="4CD1E70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8" w14:textId="74CBD7B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5EDD12E8" w14:textId="77777777" w:rsidTr="00FE016D">
              <w:trPr>
                <w:trHeight w:val="167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9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38EB3C39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0BC" w14:textId="40B6DF6D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Uncover economic rights and duties of states as subjects of the MEP.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D" w14:textId="2E37126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E" w14:textId="45538BB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BF" w14:textId="7EF1D49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2" w14:textId="4B200B2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1D2693A6" w14:textId="77777777" w:rsidTr="00156FE2">
              <w:trPr>
                <w:trHeight w:val="94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3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490F3800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SIWSI 1 Consultation on the IWS 1 implementation</w:t>
                  </w:r>
                </w:p>
                <w:p w14:paraId="000000C6" w14:textId="789F6CF5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study and analyze the results of dissertation research by I.S. </w:t>
                  </w:r>
                  <w:proofErr w:type="spell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Chabayeva</w:t>
                  </w:r>
                  <w:proofErr w:type="spell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"Principles of International Economic Law" (presentation)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7" w14:textId="66E5672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8" w14:textId="3122BB1A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9" w14:textId="739DA23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A" w14:textId="2759D36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66EFB593" w14:textId="77777777" w:rsidTr="00156FE2">
              <w:trPr>
                <w:trHeight w:val="61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B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383051F0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IWS 1</w:t>
                  </w:r>
                </w:p>
                <w:p w14:paraId="000000CE" w14:textId="198A2268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study and analyze the results of dissertation research by I.S. </w:t>
                  </w:r>
                  <w:proofErr w:type="spell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Chabayeva</w:t>
                  </w:r>
                  <w:proofErr w:type="spell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"Principles of International Economic Law" (presentation)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CF" w14:textId="09B23316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D0" w14:textId="1C7097F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D1" w14:textId="3BFE2F4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Oral form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D4" w14:textId="3C10F62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4EA5551C" w14:textId="77777777" w:rsidTr="00156FE2">
              <w:trPr>
                <w:trHeight w:val="225"/>
              </w:trPr>
              <w:tc>
                <w:tcPr>
                  <w:tcW w:w="0" w:type="auto"/>
                  <w:gridSpan w:val="6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D5" w14:textId="77777777" w:rsidR="00D55D73" w:rsidRPr="009E0258" w:rsidRDefault="00002824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Module 2</w:t>
                  </w:r>
                </w:p>
              </w:tc>
            </w:tr>
            <w:tr w:rsidR="006F2750" w:rsidRPr="009E0258" w14:paraId="00FF92AA" w14:textId="77777777" w:rsidTr="00156FE2">
              <w:trPr>
                <w:trHeight w:val="17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DD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48942F1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0E0" w14:textId="4552E895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organizations and IEL.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1" w14:textId="66FBF87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2" w14:textId="26825EBB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3" w14:textId="6DF78086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5" w14:textId="0A10A9F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002C52DB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6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5955FE0A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0E9" w14:textId="14BDCD01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Expand the role of international (interstate) economic organizations in the system of international legal regulation of the International Economic Relations.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A" w14:textId="6B76C1B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B" w14:textId="727905C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C" w14:textId="3659115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EF" w14:textId="3C54AA1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4DFDD43E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0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32037B95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0F3" w14:textId="7776EEAB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economic law integration.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4" w14:textId="45F2924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5" w14:textId="27DF4E9A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6" w14:textId="11FB37EF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8" w14:textId="706B22E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3ACA774C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9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4812C551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0FC" w14:textId="6D95108C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Legal regulation of processes integration at the global and regional level.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D" w14:textId="05E3618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E" w14:textId="3CD7437C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0FF" w14:textId="0F8D2F3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1" w14:textId="4796689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3A433B2F" w14:textId="77777777" w:rsidTr="00156FE2">
              <w:trPr>
                <w:trHeight w:val="40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2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27B20A33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SIWSI 2 Consultation on the IWS 2 implementation</w:t>
                  </w:r>
                </w:p>
                <w:p w14:paraId="00000105" w14:textId="4747B933" w:rsidR="00EF7227" w:rsidRPr="009E0258" w:rsidRDefault="00A43B54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To analyze the 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dissertation research 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f </w:t>
                  </w:r>
                  <w:proofErr w:type="spell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ayev</w:t>
                  </w:r>
                  <w:proofErr w:type="spell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S.Zh</w:t>
                  </w:r>
                  <w:proofErr w:type="spell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"Integration processes in the post-Soviet space in the context of globalization of the world: international legal aspects." (Presentation)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6" w14:textId="7F212B7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7" w14:textId="2944C836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8" w14:textId="2BF6AD4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9" w14:textId="1CF0A62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63D7ADD5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A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657DA3D" w14:textId="0F473770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IWS 2</w:t>
                  </w:r>
                </w:p>
                <w:p w14:paraId="0000010D" w14:textId="2526E6BD" w:rsidR="00EF7227" w:rsidRPr="009E0258" w:rsidRDefault="00A43B54" w:rsidP="00A43B54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 xml:space="preserve">To analyze the 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dissertation research 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of </w:t>
                  </w:r>
                  <w:proofErr w:type="spell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yev</w:t>
                  </w:r>
                  <w:proofErr w:type="spell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S.Zh</w:t>
                  </w:r>
                  <w:proofErr w:type="spell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"Integration processes in the post-Soviet space in the context of globalization of the world: international legal aspects." (Presentation)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E" w14:textId="368C7F1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0F" w14:textId="4EC1832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10" w14:textId="316164C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11" w14:textId="644E1BF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1A367000" w14:textId="77777777" w:rsidTr="00156FE2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22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78AC00E7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25" w14:textId="531C1C2F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Problems of resolving international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disputes in the IEL.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26" w14:textId="53288CD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27" w14:textId="70D055B6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28" w14:textId="11481E8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29" w14:textId="010ABFA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7C656383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2A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2BA4DCFF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2E" w14:textId="66A3C5D6" w:rsidR="00637F8C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Analyze ways of settlement economic disputes within the WTO, EU, CIS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2F" w14:textId="55B0EBC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0" w14:textId="0375275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1" w14:textId="16C7172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2" w14:textId="1466D2F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1</w:t>
                  </w:r>
                </w:p>
              </w:tc>
            </w:tr>
            <w:tr w:rsidR="006F2750" w:rsidRPr="009E0258" w14:paraId="4087F88D" w14:textId="77777777" w:rsidTr="00156FE2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3" w14:textId="77777777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4F6834E1" w14:textId="77777777" w:rsidR="00310000" w:rsidRPr="009E0258" w:rsidRDefault="00310000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36" w14:textId="68410F41" w:rsidR="00FF300B" w:rsidRPr="009E0258" w:rsidRDefault="00637F8C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Trade Law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7" w14:textId="7F52F86D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8" w14:textId="40724689" w:rsidR="00310000" w:rsidRPr="009E0258" w:rsidRDefault="00F953FE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9" w14:textId="6ED0EACB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A" w14:textId="26854A04" w:rsidR="00310000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20262B9E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3B" w14:textId="77777777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79BCA9EE" w14:textId="77777777" w:rsidR="00310000" w:rsidRPr="009E0258" w:rsidRDefault="00310000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3F" w14:textId="423FC877" w:rsidR="00FF300B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Uncover the components of international trading system and methods of regulation of international trade.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0" w14:textId="2D116F73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1" w14:textId="7B08D620" w:rsidR="00310000" w:rsidRPr="009E0258" w:rsidRDefault="00F953FE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2" w14:textId="3D6F99F5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3" w14:textId="480B8A4D" w:rsidR="00310000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1FECD765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51A062B" w14:textId="6ABDAF20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1BD24AFD" w14:textId="53BAFB0D" w:rsidR="00310000" w:rsidRPr="009E0258" w:rsidRDefault="00310000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LEVEL CONTROL 1 (RK 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D938AC6" w14:textId="10ED6061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503FB6FA" w14:textId="5F183349" w:rsidR="00310000" w:rsidRPr="009E0258" w:rsidRDefault="00F953FE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375B8823" w14:textId="5D4935BA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4D826F18" w14:textId="011BAE87" w:rsidR="00310000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6F2750" w:rsidRPr="009E0258" w14:paraId="3678E8FC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4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1415E7F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49" w14:textId="525CD5DE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Trade Law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A" w14:textId="7D97154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B" w14:textId="11A3CE1A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C" w14:textId="31CECC3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D" w14:textId="7796F66F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3EA87CF2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4E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A93A7D1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53" w14:textId="1C9D0D6D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Agreement establishing the WTO 1994 Legal framework for international trade in the WTO system (GATT, GATS, TRIM, TRIPS).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4" w14:textId="3450D15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5" w14:textId="7A74EB3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6" w14:textId="657C27B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7" w14:textId="3C24C31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0D19F6CF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8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B" w14:textId="2942BAFE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SIWSI 3 Consultation on the IWS 3 implementation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C" w14:textId="1B7BF9A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D" w14:textId="64C31A06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E" w14:textId="670CDFB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5F" w14:textId="32A9630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2AD46686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0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7BF4095A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IWS 3</w:t>
                  </w:r>
                </w:p>
                <w:p w14:paraId="00000163" w14:textId="747A0D89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Compile a comparative table of functions, competencies and structure of the GATT and the WTO.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4" w14:textId="7E256FF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5" w14:textId="2BCA49B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6" w14:textId="2FC8E2E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7" w14:textId="33B7AF6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6149F394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8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DF13B7D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6B" w14:textId="0A0DD432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financial law.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C" w14:textId="7D44E03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D" w14:textId="0A7A12A0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E" w14:textId="48B4FD2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6F" w14:textId="455548B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68376B21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0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1BAB777A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74" w14:textId="2359847F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Expand the concept, subject, </w:t>
                  </w:r>
                  <w:proofErr w:type="gram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methods</w:t>
                  </w:r>
                  <w:proofErr w:type="gram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principles of international financial law.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5" w14:textId="565BAD6C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6" w14:textId="2F8D771A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7" w14:textId="6261719A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8" w14:textId="6C173D4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270D749E" w14:textId="77777777" w:rsidTr="00FE016D">
              <w:trPr>
                <w:trHeight w:val="138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9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29E78DBD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14:paraId="0000017D" w14:textId="10CB4872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financial law.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E" w14:textId="1618EEAA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7F" w14:textId="30861DC6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0" w14:textId="4F4FFB0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1" w14:textId="6EF81486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1C6AE483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2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1EB53D04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86" w14:textId="078659C9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legal regulation of access to financial services markets.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7" w14:textId="5588AED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8" w14:textId="0F4677C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9" w14:textId="5D6665A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A" w14:textId="0FB72A4F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07D70159" w14:textId="77777777" w:rsidTr="00156FE2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8B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5EEBD1C1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SIWSI 4</w:t>
                  </w:r>
                </w:p>
                <w:p w14:paraId="0000018F" w14:textId="581889AA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Consultation on the IWS 4 implementation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0" w14:textId="77A8926C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1" w14:textId="06E8861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2" w14:textId="7E80E08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3" w14:textId="7C65E1DF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5E94EE37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4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57F6025C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IWS 4 </w:t>
                  </w:r>
                </w:p>
                <w:p w14:paraId="0000019A" w14:textId="191B9C7C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Analyze the national legislation of the Republic of Kazakhstan in the field of regulation of financial relations. Solving incidents.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B" w14:textId="1906200A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C" w14:textId="216C2B8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D" w14:textId="31321E0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E" w14:textId="21C079C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0ADC5FBB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9F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7AB0CF5B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SIWSI 5</w:t>
                  </w:r>
                </w:p>
                <w:p w14:paraId="000001A3" w14:textId="16972574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Consultation on the IWS 5 implementation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A4" w14:textId="1B07DB3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A5" w14:textId="4DCF468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A6" w14:textId="6AB749A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A7" w14:textId="08026E8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0AA46665" w14:textId="77777777" w:rsidTr="00FE016D">
              <w:trPr>
                <w:trHeight w:val="48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0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19EA5339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B3" w14:textId="61B044FA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investment law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4" w14:textId="17711CE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5" w14:textId="23D119AF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6" w14:textId="787D14B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7" w14:textId="6B6D871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54D1A44F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8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1E203F9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BC" w14:textId="7F860FD1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Expand the concept, subject, </w:t>
                  </w:r>
                  <w:proofErr w:type="gram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methods</w:t>
                  </w:r>
                  <w:proofErr w:type="gram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principles of international investment law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D" w14:textId="696DA60C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E" w14:textId="5771DE5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BF" w14:textId="7190E5F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0" w14:textId="77999D1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36E0B393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1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3E51F03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C4" w14:textId="47E8094B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investment law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5" w14:textId="2E88110C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6" w14:textId="69666BD3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7" w14:textId="5ED2BF7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8" w14:textId="345041E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3B881A40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9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1FFB904D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CD" w14:textId="3F0641AD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37F8C"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Explore the forms and methods of regulation of foreign investment on a bilateral and multilateral interstate basis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E" w14:textId="3502C86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CF" w14:textId="0874745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0" w14:textId="5607515A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1" w14:textId="6C98E74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43BD78A6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2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5" w14:textId="2E1B488F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SIWSI 6 Consultation on the IWS 6 implementation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6" w14:textId="46CF2FD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7" w14:textId="4D2BED23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8" w14:textId="58ACC4F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D9" w14:textId="47A1040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MOOC </w:t>
                  </w:r>
                  <w:r w:rsidR="001E329A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6F2750" w:rsidRPr="009E0258" w14:paraId="58B7DBA5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2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5EE6A22E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E5" w14:textId="5074DD75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migration law</w:t>
                  </w: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6" w14:textId="3CD9318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7" w14:textId="773C9774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8" w14:textId="55341E3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9" w14:textId="611F698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40FCB1EC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A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A7859A0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1ED" w14:textId="2066EFD0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Expand the subject, method, </w:t>
                  </w:r>
                  <w:proofErr w:type="gramStart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sources</w:t>
                  </w:r>
                  <w:proofErr w:type="gramEnd"/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and subjects of international migration law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E" w14:textId="734E216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EF" w14:textId="33625B0F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0" w14:textId="4B772F0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1" w14:textId="0D209872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1AE420EC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2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2B0BB9B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1F7" w14:textId="0ED69350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migration law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8" w14:textId="1764FF1C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9" w14:textId="7C52786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A" w14:textId="365397E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B" w14:textId="6077E436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1FF06254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1FC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51C04EE5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201" w14:textId="1CA554B3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Analyze the legislative and law enforcement practice of subjects in the field of regulation of forced external migration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2" w14:textId="189B84C1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3" w14:textId="5F4C2A5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4" w14:textId="3FF73E8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5" w14:textId="727ACEBF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26C8C8FC" w14:textId="77777777" w:rsidTr="00FE016D">
              <w:trPr>
                <w:trHeight w:val="86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6" w14:textId="77777777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55EC8FAC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</w:t>
                  </w:r>
                </w:p>
                <w:p w14:paraId="0000020B" w14:textId="7A082AC1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International legal responsibility in IEL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C" w14:textId="2140A0B4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D" w14:textId="727054A6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E" w14:textId="5C1B79DE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Survey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0F" w14:textId="5BE56CE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7F2ED678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0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60B0AC7A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Sem (could be Practical or Lab task)</w:t>
                  </w:r>
                </w:p>
                <w:p w14:paraId="00000215" w14:textId="2FADD293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 characterize the international legal regulation of the fight against economic types of crimes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6" w14:textId="4761E2E5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7" w14:textId="44A40B00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8" w14:textId="251F137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Quiz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9" w14:textId="0B8FAF5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1CDE5650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A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D" w14:textId="7FD45034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SIWSI 7 Consultation on the IWS 7 implementation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E" w14:textId="114A4C4D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1F" w14:textId="6446E7F9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0" w14:textId="3BF874BF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1" w14:textId="224652C8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5A9DD50B" w14:textId="77777777" w:rsidTr="00FE016D">
              <w:trPr>
                <w:trHeight w:val="2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2" w14:textId="77777777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4676EAA6" w14:textId="6BF2C968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IWS 6  </w:t>
                  </w:r>
                </w:p>
                <w:p w14:paraId="00000227" w14:textId="7B0890E0" w:rsidR="00EF7227" w:rsidRPr="009E0258" w:rsidRDefault="00637F8C" w:rsidP="008F7AB3">
                  <w:pPr>
                    <w:pStyle w:val="Normal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Consultation on the final exam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8" w14:textId="6A5DE90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9" w14:textId="0F3E27A8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A" w14:textId="45A3973B" w:rsidR="00EF7227" w:rsidRPr="009E0258" w:rsidRDefault="00EF7227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B" w14:textId="7EE282A4" w:rsidR="00EF7227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686AF9B9" w14:textId="77777777" w:rsidTr="00FE016D">
              <w:trPr>
                <w:trHeight w:val="48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C" w14:textId="77777777" w:rsidR="00310000" w:rsidRPr="009E0258" w:rsidRDefault="00310000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2F" w14:textId="6859BD79" w:rsidR="00310000" w:rsidRPr="009E0258" w:rsidRDefault="00310000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0" w14:textId="2FC1C78D" w:rsidR="00310000" w:rsidRPr="009E0258" w:rsidRDefault="00310000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1" w14:textId="0C63B8C3" w:rsidR="00310000" w:rsidRPr="009E0258" w:rsidRDefault="005F37E4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2" w14:textId="4ADF2FB1" w:rsidR="00637F8C" w:rsidRPr="009E0258" w:rsidRDefault="00310000" w:rsidP="00637F8C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Test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3" w14:textId="52BAD26D" w:rsidR="00310000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  <w:tr w:rsidR="006F2750" w:rsidRPr="009E0258" w14:paraId="4A1085A6" w14:textId="77777777" w:rsidTr="00FE016D">
              <w:trPr>
                <w:trHeight w:val="48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4" w14:textId="77777777" w:rsidR="0004450E" w:rsidRPr="009E0258" w:rsidRDefault="0004450E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7" w14:textId="1707E2FB" w:rsidR="0004450E" w:rsidRPr="009E0258" w:rsidRDefault="00130DD9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LEVEL CONTROL 2 (RK2)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8" w14:textId="3811386D" w:rsidR="0004450E" w:rsidRPr="009E0258" w:rsidRDefault="00310000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9" w14:textId="5E841698" w:rsidR="0004450E" w:rsidRPr="009E0258" w:rsidRDefault="005F37E4" w:rsidP="008F7AB3">
                  <w:pPr>
                    <w:pStyle w:val="Normal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A" w14:textId="2FED9617" w:rsidR="0004450E" w:rsidRPr="009E0258" w:rsidRDefault="00B35C8A" w:rsidP="008F7AB3">
                  <w:pPr>
                    <w:pStyle w:val="Normal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Oral form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20" w:type="dxa"/>
                    <w:bottom w:w="100" w:type="dxa"/>
                    <w:right w:w="120" w:type="dxa"/>
                  </w:tcMar>
                </w:tcPr>
                <w:p w14:paraId="0000023B" w14:textId="438F7BAF" w:rsidR="0004450E" w:rsidRPr="009E0258" w:rsidRDefault="00EF7227" w:rsidP="008F7AB3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E02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MOOC 2</w:t>
                  </w:r>
                </w:p>
              </w:tc>
            </w:tr>
          </w:tbl>
          <w:p w14:paraId="0000023C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00023D" w14:textId="66FA9EED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Abbreviation: </w:t>
            </w:r>
          </w:p>
          <w:p w14:paraId="0000023E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S-TQ – self-test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questions;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000023F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TT – typical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tasks;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0000240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IA – individual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assignments;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0000241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CT – check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test;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0000243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IWS - independent work of a student, </w:t>
            </w:r>
          </w:p>
          <w:p w14:paraId="00000244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SIWSI - Student’s independent work under supervision of the instructor, </w:t>
            </w:r>
          </w:p>
          <w:p w14:paraId="00000245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AI - achievement indicator, </w:t>
            </w:r>
          </w:p>
          <w:p w14:paraId="00000246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L - Lecture</w:t>
            </w:r>
          </w:p>
          <w:p w14:paraId="00000247" w14:textId="77777777" w:rsidR="00D55D73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LO - Learning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outcome</w:t>
            </w:r>
            <w:proofErr w:type="gramEnd"/>
          </w:p>
          <w:p w14:paraId="00000248" w14:textId="58DE0A33" w:rsidR="009E0258" w:rsidRPr="009E0258" w:rsidRDefault="00002824" w:rsidP="008F7AB3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Sem - Seminar (could be Practical or Lab task)</w:t>
            </w:r>
          </w:p>
        </w:tc>
      </w:tr>
      <w:tr w:rsidR="00D55D73" w:rsidRPr="009E0258" w14:paraId="642754C1" w14:textId="77777777" w:rsidTr="00EF7227">
        <w:trPr>
          <w:trHeight w:val="1925"/>
        </w:trPr>
        <w:tc>
          <w:tcPr>
            <w:tcW w:w="14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49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* When using several MOOCs, their numbering and names must be entered.</w:t>
            </w:r>
          </w:p>
          <w:p w14:paraId="0000024A" w14:textId="77777777" w:rsidR="00D55D73" w:rsidRPr="009E0258" w:rsidRDefault="00D55D73">
            <w:pPr>
              <w:pStyle w:val="Normal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0000024B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4.3 Express </w:t>
            </w:r>
            <w:proofErr w:type="gramStart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yours</w:t>
            </w:r>
            <w:proofErr w:type="gramEnd"/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comments about your expectations and concerns regarding the use of MOOCs in your discipline</w:t>
            </w:r>
          </w:p>
          <w:p w14:paraId="0000024C" w14:textId="77777777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* Example of comments:</w:t>
            </w:r>
          </w:p>
          <w:p w14:paraId="0000024D" w14:textId="2A097E1F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Expectations:</w:t>
            </w:r>
            <w:r w:rsidR="00623CC9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These courses will increase the knowledge of students especially in global wide level about the information about </w:t>
            </w:r>
            <w:r w:rsidR="00262074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International Economic</w:t>
            </w:r>
            <w:r w:rsidR="00623CC9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62074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L</w:t>
            </w:r>
            <w:r w:rsidR="00623CC9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aw.</w:t>
            </w:r>
          </w:p>
          <w:p w14:paraId="00000251" w14:textId="7D08F218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Interest in the course will increase</w:t>
            </w:r>
            <w:r w:rsidR="00623CC9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26ECF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after enrolling by students. </w:t>
            </w:r>
            <w:r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Risks:</w:t>
            </w:r>
            <w:r w:rsidR="00F91480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There are no risks regarding to these two MOOCs.</w:t>
            </w:r>
          </w:p>
          <w:p w14:paraId="00000252" w14:textId="5B3C7FEC" w:rsidR="00D55D73" w:rsidRPr="009E0258" w:rsidRDefault="00002824">
            <w:pPr>
              <w:pStyle w:val="Normal0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Planning students' time to work in MOOC</w:t>
            </w:r>
            <w:r w:rsidR="00F91480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s. They should study by MOOCs</w:t>
            </w:r>
            <w:r w:rsidR="00623CC9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most of their time</w:t>
            </w:r>
            <w:r w:rsidR="00F91480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  <w:r w:rsidR="00F26ECF" w:rsidRPr="009E025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0000253" w14:textId="77777777" w:rsidR="00D55D73" w:rsidRPr="009E0258" w:rsidRDefault="00D55D73">
      <w:pPr>
        <w:pStyle w:val="Normal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E630F3" w14:textId="77777777" w:rsidR="008F7AB3" w:rsidRPr="009E0258" w:rsidRDefault="00AA437F">
      <w:pPr>
        <w:pStyle w:val="Normal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Conclusion of the Head of the department</w:t>
      </w:r>
      <w:r w:rsidR="00130DD9"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30DD9"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30DD9"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</w:t>
      </w:r>
    </w:p>
    <w:p w14:paraId="79EBA74F" w14:textId="6D625C5D" w:rsidR="00AA437F" w:rsidRPr="009E0258" w:rsidRDefault="008F7AB3" w:rsidP="008F7AB3">
      <w:pPr>
        <w:pStyle w:val="Normal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recommend this map of MOOC integration in the educational process in the discipline </w:t>
      </w:r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 Economic Law</w:t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Both MOOCs comply with the discipline </w:t>
      </w:r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0% and </w:t>
      </w:r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0% respectively. The degree of compliance with the subject matches to all modules. </w:t>
      </w:r>
      <w:r w:rsidR="00E375D4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these MOOCs </w:t>
      </w:r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 </w:t>
      </w:r>
      <w:r w:rsidR="00E375D4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professors give a broad overview about </w:t>
      </w:r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Economic law, </w:t>
      </w:r>
      <w:proofErr w:type="gramStart"/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Financial</w:t>
      </w:r>
      <w:proofErr w:type="gramEnd"/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law and Trade law</w:t>
      </w:r>
      <w:r w:rsidR="00E375D4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8507D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Master students</w:t>
      </w:r>
      <w:r w:rsidR="00E375D4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</w:t>
      </w:r>
      <w:proofErr w:type="gramStart"/>
      <w:r w:rsidR="00E375D4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definitely gain</w:t>
      </w:r>
      <w:proofErr w:type="gramEnd"/>
      <w:r w:rsidR="00E375D4"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new information, knowledge and skills about the subject matter. </w:t>
      </w:r>
    </w:p>
    <w:p w14:paraId="54F22608" w14:textId="77777777" w:rsidR="00E375D4" w:rsidRPr="009E0258" w:rsidRDefault="00E375D4">
      <w:pPr>
        <w:pStyle w:val="Normal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4912EA" w14:textId="597CC18F" w:rsidR="00AA437F" w:rsidRPr="009E0258" w:rsidRDefault="00AA437F">
      <w:pPr>
        <w:pStyle w:val="Normal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Head of the Department</w:t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E375D4"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756E9"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proofErr w:type="spellStart"/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Sairambayeva</w:t>
      </w:r>
      <w:proofErr w:type="spellEnd"/>
      <w:r w:rsidRPr="009E02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Zhuldyz Talgatovna</w:t>
      </w:r>
    </w:p>
    <w:p w14:paraId="00000256" w14:textId="60581B22" w:rsidR="00D55D73" w:rsidRPr="009E0258" w:rsidRDefault="00D55D73" w:rsidP="6FEF6CAF">
      <w:pPr>
        <w:pStyle w:val="Normal0"/>
        <w:spacing w:before="240"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000257" w14:textId="221A5F19" w:rsidR="00D55D73" w:rsidRPr="009E0258" w:rsidRDefault="00002824">
      <w:pPr>
        <w:pStyle w:val="Normal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Lecturer                                                                                                                    </w:t>
      </w:r>
      <w:r w:rsidR="00AA437F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75D4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C756E9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="00130DD9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Otynshiyeva</w:t>
      </w:r>
      <w:proofErr w:type="spellEnd"/>
      <w:r w:rsidR="00130DD9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30DD9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Aidana</w:t>
      </w:r>
      <w:proofErr w:type="spellEnd"/>
      <w:r w:rsidR="00130DD9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30DD9"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Aitukyzy</w:t>
      </w:r>
      <w:proofErr w:type="spellEnd"/>
      <w:r w:rsidRPr="009E02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9E02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sectPr w:rsidR="00D55D73" w:rsidRPr="009E0258">
      <w:pgSz w:w="16838" w:h="11906"/>
      <w:pgMar w:top="1134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A6E"/>
    <w:multiLevelType w:val="hybridMultilevel"/>
    <w:tmpl w:val="2C5C4A1E"/>
    <w:lvl w:ilvl="0" w:tplc="B3D467D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245D"/>
    <w:multiLevelType w:val="hybridMultilevel"/>
    <w:tmpl w:val="89DE9802"/>
    <w:lvl w:ilvl="0" w:tplc="A8987FB4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b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C7C2D"/>
    <w:multiLevelType w:val="hybridMultilevel"/>
    <w:tmpl w:val="83F84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56D9"/>
    <w:multiLevelType w:val="hybridMultilevel"/>
    <w:tmpl w:val="CE308A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238517">
    <w:abstractNumId w:val="2"/>
  </w:num>
  <w:num w:numId="2" w16cid:durableId="1224759871">
    <w:abstractNumId w:val="3"/>
  </w:num>
  <w:num w:numId="3" w16cid:durableId="1573391058">
    <w:abstractNumId w:val="1"/>
  </w:num>
  <w:num w:numId="4" w16cid:durableId="16356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1A6385"/>
    <w:rsid w:val="00002824"/>
    <w:rsid w:val="00032549"/>
    <w:rsid w:val="0004450E"/>
    <w:rsid w:val="000544A9"/>
    <w:rsid w:val="0008507D"/>
    <w:rsid w:val="00130DD9"/>
    <w:rsid w:val="00156FE2"/>
    <w:rsid w:val="00163454"/>
    <w:rsid w:val="00165711"/>
    <w:rsid w:val="00166DD1"/>
    <w:rsid w:val="001D358E"/>
    <w:rsid w:val="001E0989"/>
    <w:rsid w:val="001E329A"/>
    <w:rsid w:val="002144B2"/>
    <w:rsid w:val="00262074"/>
    <w:rsid w:val="00310000"/>
    <w:rsid w:val="00367B94"/>
    <w:rsid w:val="0047298A"/>
    <w:rsid w:val="004B2314"/>
    <w:rsid w:val="004F1BDE"/>
    <w:rsid w:val="00572E64"/>
    <w:rsid w:val="00575247"/>
    <w:rsid w:val="005927A5"/>
    <w:rsid w:val="005E3FAF"/>
    <w:rsid w:val="005F37E4"/>
    <w:rsid w:val="00623CC9"/>
    <w:rsid w:val="006349F9"/>
    <w:rsid w:val="00637F8C"/>
    <w:rsid w:val="0068020B"/>
    <w:rsid w:val="006833F4"/>
    <w:rsid w:val="006F2750"/>
    <w:rsid w:val="00714277"/>
    <w:rsid w:val="00784982"/>
    <w:rsid w:val="008A5364"/>
    <w:rsid w:val="008A7FA5"/>
    <w:rsid w:val="008D5D0A"/>
    <w:rsid w:val="008F7AB3"/>
    <w:rsid w:val="009460DF"/>
    <w:rsid w:val="009716FB"/>
    <w:rsid w:val="009A5261"/>
    <w:rsid w:val="009D599E"/>
    <w:rsid w:val="009E0258"/>
    <w:rsid w:val="00A075D6"/>
    <w:rsid w:val="00A43B54"/>
    <w:rsid w:val="00AA437F"/>
    <w:rsid w:val="00AB364F"/>
    <w:rsid w:val="00B25534"/>
    <w:rsid w:val="00B35C8A"/>
    <w:rsid w:val="00B37AA9"/>
    <w:rsid w:val="00B572B9"/>
    <w:rsid w:val="00B7214A"/>
    <w:rsid w:val="00B90473"/>
    <w:rsid w:val="00C3322E"/>
    <w:rsid w:val="00C6596A"/>
    <w:rsid w:val="00C756E9"/>
    <w:rsid w:val="00C95173"/>
    <w:rsid w:val="00CE7FFA"/>
    <w:rsid w:val="00D55D73"/>
    <w:rsid w:val="00D90D08"/>
    <w:rsid w:val="00D979AD"/>
    <w:rsid w:val="00E16BED"/>
    <w:rsid w:val="00E375D4"/>
    <w:rsid w:val="00E852F8"/>
    <w:rsid w:val="00EF7227"/>
    <w:rsid w:val="00F26ECF"/>
    <w:rsid w:val="00F323DF"/>
    <w:rsid w:val="00F91480"/>
    <w:rsid w:val="00F953FE"/>
    <w:rsid w:val="00FA587D"/>
    <w:rsid w:val="00FB0DEA"/>
    <w:rsid w:val="00FD7DBB"/>
    <w:rsid w:val="00FE016D"/>
    <w:rsid w:val="00FF300B"/>
    <w:rsid w:val="6F1A6385"/>
    <w:rsid w:val="6FE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A485F"/>
  <w15:docId w15:val="{4462B7C6-F67D-40BC-BC54-584259D2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S"/>
    </w:rPr>
  </w:style>
  <w:style w:type="paragraph" w:styleId="1">
    <w:name w:val="heading 1"/>
    <w:basedOn w:val="a"/>
    <w:next w:val="a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en-US"/>
    </w:rPr>
  </w:style>
  <w:style w:type="paragraph" w:styleId="3">
    <w:name w:val="heading 3"/>
    <w:basedOn w:val="a"/>
    <w:next w:val="a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4">
    <w:name w:val="heading 4"/>
    <w:basedOn w:val="a"/>
    <w:next w:val="a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lang w:val="en-US"/>
    </w:rPr>
  </w:style>
  <w:style w:type="paragraph" w:styleId="5">
    <w:name w:val="heading 5"/>
    <w:basedOn w:val="a"/>
    <w:next w:val="a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  <w:lang w:val="en-US"/>
    </w:rPr>
  </w:style>
  <w:style w:type="paragraph" w:styleId="6">
    <w:name w:val="heading 6"/>
    <w:basedOn w:val="a"/>
    <w:next w:val="a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paragraph" w:customStyle="1" w:styleId="Normal0">
    <w:name w:val="Normal0"/>
    <w:qFormat/>
    <w:rsid w:val="00BD2052"/>
    <w:rPr>
      <w:rFonts w:eastAsiaTheme="minorEastAsia"/>
    </w:r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customStyle="1" w:styleId="41">
    <w:name w:val="Таблица простая 41"/>
    <w:basedOn w:val="NormalTable0"/>
    <w:uiPriority w:val="44"/>
    <w:rsid w:val="00BD2052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Normal0"/>
    <w:link w:val="a5"/>
    <w:uiPriority w:val="34"/>
    <w:qFormat/>
    <w:rsid w:val="00417E92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NormalTable0"/>
    <w:uiPriority w:val="59"/>
    <w:rsid w:val="0041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A2436F"/>
  </w:style>
  <w:style w:type="paragraph" w:styleId="a7">
    <w:name w:val="Normal (Web)"/>
    <w:basedOn w:val="Normal0"/>
    <w:uiPriority w:val="99"/>
    <w:unhideWhenUsed/>
    <w:rsid w:val="00A2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a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b">
    <w:basedOn w:val="NormalTable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annotation text"/>
    <w:basedOn w:val="Normal0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rFonts w:eastAsiaTheme="minorEastAsia"/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Normal0"/>
    <w:link w:val="af2"/>
    <w:uiPriority w:val="99"/>
    <w:semiHidden/>
    <w:unhideWhenUsed/>
    <w:rsid w:val="00BB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B12B7"/>
    <w:rPr>
      <w:rFonts w:ascii="Segoe UI" w:eastAsiaTheme="minorEastAsia" w:hAnsi="Segoe UI" w:cs="Segoe UI"/>
      <w:sz w:val="18"/>
      <w:szCs w:val="18"/>
    </w:rPr>
  </w:style>
  <w:style w:type="character" w:customStyle="1" w:styleId="annotationreference0">
    <w:name w:val="annotation reference0"/>
    <w:uiPriority w:val="99"/>
    <w:semiHidden/>
    <w:unhideWhenUsed/>
    <w:rPr>
      <w:sz w:val="16"/>
      <w:szCs w:val="16"/>
    </w:rPr>
  </w:style>
  <w:style w:type="paragraph" w:styleId="af3">
    <w:name w:val="annotation subject"/>
    <w:basedOn w:val="annotationtext0"/>
    <w:next w:val="annotationtext0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basedOn w:val="CommentTextChar"/>
    <w:link w:val="af3"/>
    <w:uiPriority w:val="99"/>
    <w:semiHidden/>
    <w:rPr>
      <w:b/>
      <w:bCs/>
      <w:sz w:val="20"/>
      <w:szCs w:val="20"/>
    </w:rPr>
  </w:style>
  <w:style w:type="paragraph" w:customStyle="1" w:styleId="annotationtext0">
    <w:name w:val="annotation text0"/>
    <w:basedOn w:val="a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annotationtext0"/>
    <w:uiPriority w:val="99"/>
    <w:semiHidden/>
    <w:rPr>
      <w:sz w:val="20"/>
      <w:szCs w:val="20"/>
    </w:rPr>
  </w:style>
  <w:style w:type="paragraph" w:customStyle="1" w:styleId="Subtitle0">
    <w:name w:val="Subtitle0"/>
    <w:basedOn w:val="a"/>
    <w:next w:val="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f5">
    <w:basedOn w:val="NormalTable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6">
    <w:basedOn w:val="NormalTable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7">
    <w:basedOn w:val="NormalTable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8">
    <w:basedOn w:val="NormalTable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le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37AA9"/>
    <w:rPr>
      <w:b/>
      <w:sz w:val="36"/>
      <w:szCs w:val="36"/>
    </w:rPr>
  </w:style>
  <w:style w:type="character" w:styleId="afa">
    <w:name w:val="Hyperlink"/>
    <w:basedOn w:val="a0"/>
    <w:uiPriority w:val="99"/>
    <w:unhideWhenUsed/>
    <w:rsid w:val="00714277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714277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8F7A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oursera.org/learn/financial-markets-global/home/week/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ursera.org/learn/free-trade-agreements-and-special-economic-zones/supplement/xPhUP/program-description-and-course-syllab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7a3de-53a7-48b3-ac38-f6b3d621ccce">
      <Terms xmlns="http://schemas.microsoft.com/office/infopath/2007/PartnerControls"/>
    </lcf76f155ced4ddcb4097134ff3c332f>
    <TaxCatchAll xmlns="e4eb4272-7ffe-4e4b-9ef1-d0db381e3435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nUIgZOVCbkmJ3Q1UcmOMXjaw7Q==">AMUW2mW0EjGw0WKAcVhRLrO289cZkkdGXfgfC2XhAUnjdau0H9pCJ/PhkfCvg98StoXm5sdX/1bg03zK49u2TIfiPyAx/fuQYI2zwQkRT29eicn3Eu0SyWs9syotzIjTxrlRCmQANmWk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264D338FA56C4F8ECA6FAF29F4FE44" ma:contentTypeVersion="15" ma:contentTypeDescription="Создание документа." ma:contentTypeScope="" ma:versionID="211e77b2b6021c14831c9ac6b6df43f4">
  <xsd:schema xmlns:xsd="http://www.w3.org/2001/XMLSchema" xmlns:xs="http://www.w3.org/2001/XMLSchema" xmlns:p="http://schemas.microsoft.com/office/2006/metadata/properties" xmlns:ns2="3d47a3de-53a7-48b3-ac38-f6b3d621ccce" xmlns:ns3="e4eb4272-7ffe-4e4b-9ef1-d0db381e3435" targetNamespace="http://schemas.microsoft.com/office/2006/metadata/properties" ma:root="true" ma:fieldsID="4d0ed0033d46b19edc83442e90cc55da" ns2:_="" ns3:_="">
    <xsd:import namespace="3d47a3de-53a7-48b3-ac38-f6b3d621ccce"/>
    <xsd:import namespace="e4eb4272-7ffe-4e4b-9ef1-d0db381e3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a3de-53a7-48b3-ac38-f6b3d621c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b4272-7ffe-4e4b-9ef1-d0db381e3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05531b-ebc3-414f-b19d-ce8b7c0c8b5a}" ma:internalName="TaxCatchAll" ma:showField="CatchAllData" ma:web="e4eb4272-7ffe-4e4b-9ef1-d0db381e3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589C-AB19-455D-AA21-EED98BDA7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F8647-3E51-45A9-8529-35AB6DB95EB4}">
  <ds:schemaRefs>
    <ds:schemaRef ds:uri="http://schemas.microsoft.com/office/2006/metadata/properties"/>
    <ds:schemaRef ds:uri="http://schemas.microsoft.com/office/infopath/2007/PartnerControls"/>
    <ds:schemaRef ds:uri="3d47a3de-53a7-48b3-ac38-f6b3d621ccce"/>
    <ds:schemaRef ds:uri="e4eb4272-7ffe-4e4b-9ef1-d0db381e3435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E809B22-DE34-4AED-AF5E-7A59A9CFD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a3de-53a7-48b3-ac38-f6b3d621ccce"/>
    <ds:schemaRef ds:uri="e4eb4272-7ffe-4e4b-9ef1-d0db381e3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UserIDO</dc:creator>
  <cp:lastModifiedBy>Aidana Otynshiyeva</cp:lastModifiedBy>
  <cp:revision>63</cp:revision>
  <dcterms:created xsi:type="dcterms:W3CDTF">2023-01-24T06:02:00Z</dcterms:created>
  <dcterms:modified xsi:type="dcterms:W3CDTF">2024-01-14T06:35:00Z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0x010100B7264D338FA56C4F8ECA6FAF29F4FE44</vt:lpwstr>
  </property>
  <property fmtid="{D5CDD505-2E9C-101B-9397-08002B2CF9AE}" pid="3" name="MediaServiceImageTags">
    <vt:lpwstr/>
  </property>
</Properties>
</file>